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95" w:rsidRDefault="00036F95" w:rsidP="00036F95">
      <w:pPr>
        <w:pStyle w:val="Default"/>
        <w:jc w:val="center"/>
        <w:rPr>
          <w:rFonts w:ascii="Palatino Linotype" w:hAnsi="Palatino Linotype"/>
          <w:sz w:val="23"/>
          <w:szCs w:val="23"/>
        </w:rPr>
      </w:pPr>
      <w:r w:rsidRPr="00036F95">
        <w:rPr>
          <w:rFonts w:ascii="Palatino Linotype" w:hAnsi="Palatino Linotype"/>
          <w:sz w:val="23"/>
          <w:szCs w:val="23"/>
        </w:rPr>
        <w:t>Střední průmyslová škola stavební a Obchodní akademie, Kadaň, Komenského 562, příspěvková organizace</w:t>
      </w:r>
    </w:p>
    <w:p w:rsidR="00036F95" w:rsidRPr="00036F95" w:rsidRDefault="00036F95" w:rsidP="00036F95">
      <w:pPr>
        <w:pStyle w:val="Default"/>
        <w:jc w:val="center"/>
        <w:rPr>
          <w:rFonts w:ascii="Palatino Linotype" w:hAnsi="Palatino Linotype"/>
          <w:sz w:val="23"/>
          <w:szCs w:val="23"/>
        </w:rPr>
      </w:pPr>
    </w:p>
    <w:p w:rsidR="00036F95" w:rsidRPr="00036F95" w:rsidRDefault="00036F95" w:rsidP="00036F95">
      <w:pPr>
        <w:pStyle w:val="Default"/>
        <w:jc w:val="center"/>
        <w:rPr>
          <w:rFonts w:ascii="Palatino Linotype" w:hAnsi="Palatino Linotype"/>
          <w:sz w:val="32"/>
          <w:szCs w:val="32"/>
        </w:rPr>
      </w:pPr>
      <w:r w:rsidRPr="00036F95">
        <w:rPr>
          <w:rFonts w:ascii="Palatino Linotype" w:hAnsi="Palatino Linotype"/>
          <w:b/>
          <w:bCs/>
          <w:sz w:val="32"/>
          <w:szCs w:val="32"/>
        </w:rPr>
        <w:t xml:space="preserve">Přijímací řízení pro školní rok </w:t>
      </w:r>
      <w:r w:rsidR="003D07BA">
        <w:rPr>
          <w:rFonts w:ascii="Palatino Linotype" w:hAnsi="Palatino Linotype"/>
          <w:b/>
          <w:bCs/>
          <w:sz w:val="32"/>
          <w:szCs w:val="32"/>
        </w:rPr>
        <w:t>2021 - 2022</w:t>
      </w:r>
    </w:p>
    <w:p w:rsidR="00036F95" w:rsidRDefault="00036F95" w:rsidP="00036F95">
      <w:pPr>
        <w:pStyle w:val="Default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ab/>
      </w:r>
    </w:p>
    <w:p w:rsidR="00036F95" w:rsidRDefault="00036F95" w:rsidP="00036F95">
      <w:pPr>
        <w:pStyle w:val="Default"/>
        <w:jc w:val="right"/>
        <w:rPr>
          <w:rFonts w:ascii="Palatino Linotype" w:hAnsi="Palatino Linotype"/>
          <w:sz w:val="23"/>
          <w:szCs w:val="23"/>
        </w:rPr>
      </w:pPr>
      <w:proofErr w:type="gramStart"/>
      <w:r w:rsidRPr="00036F95">
        <w:rPr>
          <w:rFonts w:ascii="Palatino Linotype" w:hAnsi="Palatino Linotype"/>
          <w:sz w:val="23"/>
          <w:szCs w:val="23"/>
        </w:rPr>
        <w:t>Č.j.</w:t>
      </w:r>
      <w:proofErr w:type="gramEnd"/>
      <w:r w:rsidRPr="00036F95">
        <w:rPr>
          <w:rFonts w:ascii="Palatino Linotype" w:hAnsi="Palatino Linotype"/>
          <w:sz w:val="23"/>
          <w:szCs w:val="23"/>
        </w:rPr>
        <w:t xml:space="preserve"> SPOA/</w:t>
      </w:r>
      <w:r w:rsidR="003D07BA">
        <w:rPr>
          <w:rFonts w:ascii="Palatino Linotype" w:hAnsi="Palatino Linotype"/>
          <w:sz w:val="23"/>
          <w:szCs w:val="23"/>
        </w:rPr>
        <w:t>057</w:t>
      </w:r>
      <w:r w:rsidRPr="00036F95">
        <w:rPr>
          <w:rFonts w:ascii="Palatino Linotype" w:hAnsi="Palatino Linotype"/>
          <w:sz w:val="23"/>
          <w:szCs w:val="23"/>
        </w:rPr>
        <w:t>/</w:t>
      </w:r>
      <w:r w:rsidR="003D07BA">
        <w:rPr>
          <w:rFonts w:ascii="Palatino Linotype" w:hAnsi="Palatino Linotype"/>
          <w:sz w:val="23"/>
          <w:szCs w:val="23"/>
        </w:rPr>
        <w:t>2021</w:t>
      </w:r>
      <w:r w:rsidR="00E45AD5">
        <w:rPr>
          <w:rFonts w:ascii="Palatino Linotype" w:hAnsi="Palatino Linotype"/>
          <w:sz w:val="23"/>
          <w:szCs w:val="23"/>
        </w:rPr>
        <w:t>/2</w:t>
      </w:r>
    </w:p>
    <w:p w:rsidR="00E45AD5" w:rsidRDefault="00E45AD5" w:rsidP="00036F95">
      <w:pPr>
        <w:pStyle w:val="Default"/>
        <w:jc w:val="right"/>
        <w:rPr>
          <w:rFonts w:ascii="Palatino Linotype" w:hAnsi="Palatino Linotype"/>
          <w:sz w:val="23"/>
          <w:szCs w:val="23"/>
        </w:rPr>
      </w:pPr>
    </w:p>
    <w:p w:rsidR="00E45AD5" w:rsidRPr="00FD0A43" w:rsidRDefault="00E45AD5" w:rsidP="00E45AD5">
      <w:pPr>
        <w:pStyle w:val="Nadpis1"/>
        <w:rPr>
          <w:rFonts w:ascii="Palatino" w:hAnsi="Palatino"/>
          <w:bCs w:val="0"/>
          <w:i w:val="0"/>
          <w:iCs w:val="0"/>
          <w:color w:val="000000"/>
          <w:sz w:val="30"/>
          <w:szCs w:val="22"/>
        </w:rPr>
      </w:pPr>
      <w:r w:rsidRPr="00FD0A43">
        <w:rPr>
          <w:rFonts w:ascii="Palatino" w:hAnsi="Palatino"/>
          <w:bCs w:val="0"/>
          <w:i w:val="0"/>
          <w:iCs w:val="0"/>
          <w:color w:val="000000"/>
          <w:sz w:val="30"/>
          <w:szCs w:val="22"/>
        </w:rPr>
        <w:t>Vyhlášení 2. kola přijímacího řízení</w:t>
      </w:r>
    </w:p>
    <w:p w:rsidR="00E45AD5" w:rsidRPr="00FD0A43" w:rsidRDefault="00E45AD5" w:rsidP="00E45AD5">
      <w:pPr>
        <w:spacing w:before="100" w:after="100"/>
        <w:jc w:val="both"/>
        <w:rPr>
          <w:rFonts w:ascii="Palatino" w:hAnsi="Palatino"/>
          <w:color w:val="000000"/>
          <w:sz w:val="22"/>
          <w:szCs w:val="22"/>
        </w:rPr>
      </w:pPr>
      <w:r w:rsidRPr="00FD0A43">
        <w:rPr>
          <w:rFonts w:ascii="Palatino" w:hAnsi="Palatino"/>
          <w:color w:val="000000"/>
          <w:sz w:val="22"/>
          <w:szCs w:val="22"/>
        </w:rPr>
        <w:t xml:space="preserve"> V souladu s § 60 odst. 8 zákona č. 561/2004 Sb., o předškolním, základním, středním, vyšším odborném a jiném vzdělávání (školský zákon), ve znění pozdějších předpisů vyhlašuji </w:t>
      </w:r>
      <w:proofErr w:type="gramStart"/>
      <w:r w:rsidRPr="00FD0A43">
        <w:rPr>
          <w:rFonts w:ascii="Palatino" w:hAnsi="Palatino"/>
          <w:color w:val="000000"/>
          <w:sz w:val="22"/>
          <w:szCs w:val="22"/>
        </w:rPr>
        <w:t>na</w:t>
      </w:r>
      <w:proofErr w:type="gramEnd"/>
      <w:r w:rsidRPr="00FD0A43">
        <w:rPr>
          <w:rFonts w:ascii="Palatino" w:hAnsi="Palatino"/>
          <w:color w:val="000000"/>
          <w:sz w:val="22"/>
          <w:szCs w:val="22"/>
        </w:rPr>
        <w:t xml:space="preserve"> </w:t>
      </w:r>
    </w:p>
    <w:p w:rsidR="00E45AD5" w:rsidRPr="00FD0A43" w:rsidRDefault="00E45AD5" w:rsidP="00E45AD5">
      <w:pPr>
        <w:spacing w:before="120" w:after="120"/>
        <w:ind w:left="147" w:right="147"/>
        <w:jc w:val="center"/>
        <w:rPr>
          <w:rFonts w:ascii="Palatino" w:hAnsi="Palatino"/>
          <w:b/>
          <w:color w:val="000000"/>
          <w:sz w:val="22"/>
          <w:szCs w:val="22"/>
        </w:rPr>
      </w:pPr>
      <w:r w:rsidRPr="00FD0A43">
        <w:rPr>
          <w:rFonts w:ascii="Palatino" w:hAnsi="Palatino"/>
          <w:color w:val="000000"/>
          <w:sz w:val="22"/>
          <w:szCs w:val="22"/>
        </w:rPr>
        <w:br/>
      </w:r>
      <w:r w:rsidR="0057019D" w:rsidRPr="00063CDB">
        <w:rPr>
          <w:rFonts w:ascii="Palatino" w:hAnsi="Palatino"/>
          <w:b/>
          <w:sz w:val="26"/>
          <w:szCs w:val="22"/>
        </w:rPr>
        <w:t>16</w:t>
      </w:r>
      <w:r w:rsidRPr="00063CDB">
        <w:rPr>
          <w:rFonts w:ascii="Palatino" w:hAnsi="Palatino"/>
          <w:b/>
          <w:sz w:val="26"/>
          <w:szCs w:val="22"/>
        </w:rPr>
        <w:t xml:space="preserve">. června </w:t>
      </w:r>
      <w:r w:rsidR="009A1C86">
        <w:rPr>
          <w:rFonts w:ascii="Palatino" w:hAnsi="Palatino"/>
          <w:b/>
          <w:color w:val="000000"/>
          <w:sz w:val="26"/>
          <w:szCs w:val="22"/>
        </w:rPr>
        <w:t>2021</w:t>
      </w:r>
    </w:p>
    <w:p w:rsidR="00E45AD5" w:rsidRPr="00063CDB" w:rsidRDefault="00E45AD5" w:rsidP="00E45AD5">
      <w:pPr>
        <w:pStyle w:val="Default"/>
        <w:spacing w:after="18"/>
        <w:rPr>
          <w:rFonts w:ascii="Palatino" w:eastAsia="Times New Roman" w:hAnsi="Palatino"/>
          <w:color w:val="auto"/>
          <w:sz w:val="22"/>
          <w:szCs w:val="22"/>
          <w:lang w:eastAsia="cs-CZ"/>
        </w:rPr>
      </w:pPr>
      <w:r w:rsidRPr="00FD0A43">
        <w:rPr>
          <w:rFonts w:ascii="Palatino" w:eastAsia="Times New Roman" w:hAnsi="Palatino"/>
          <w:sz w:val="22"/>
          <w:szCs w:val="22"/>
          <w:lang w:eastAsia="cs-CZ"/>
        </w:rPr>
        <w:t xml:space="preserve">druhé kolo přijímacího řízení. </w:t>
      </w:r>
      <w:r w:rsidRPr="00FD0A43">
        <w:rPr>
          <w:rFonts w:ascii="Palatino" w:eastAsia="Times New Roman" w:hAnsi="Palatino"/>
          <w:b/>
          <w:szCs w:val="22"/>
          <w:lang w:eastAsia="cs-CZ"/>
        </w:rPr>
        <w:t xml:space="preserve">Přihlášky </w:t>
      </w:r>
      <w:r w:rsidRPr="00FD0A43">
        <w:rPr>
          <w:rFonts w:ascii="Palatino" w:eastAsia="Times New Roman" w:hAnsi="Palatino"/>
          <w:szCs w:val="22"/>
          <w:lang w:eastAsia="cs-CZ"/>
        </w:rPr>
        <w:t xml:space="preserve">ke studiu přijímáme </w:t>
      </w:r>
      <w:r w:rsidRPr="00063CDB">
        <w:rPr>
          <w:rFonts w:ascii="Palatino" w:eastAsia="Times New Roman" w:hAnsi="Palatino"/>
          <w:color w:val="auto"/>
          <w:szCs w:val="22"/>
          <w:lang w:eastAsia="cs-CZ"/>
        </w:rPr>
        <w:t xml:space="preserve">do </w:t>
      </w:r>
      <w:r w:rsidRPr="00063CDB">
        <w:rPr>
          <w:rFonts w:ascii="Palatino" w:eastAsia="Times New Roman" w:hAnsi="Palatino"/>
          <w:b/>
          <w:color w:val="auto"/>
          <w:szCs w:val="22"/>
          <w:lang w:eastAsia="cs-CZ"/>
        </w:rPr>
        <w:t>1</w:t>
      </w:r>
      <w:r w:rsidR="0057019D" w:rsidRPr="00063CDB">
        <w:rPr>
          <w:rFonts w:ascii="Palatino" w:eastAsia="Times New Roman" w:hAnsi="Palatino"/>
          <w:b/>
          <w:color w:val="auto"/>
          <w:szCs w:val="22"/>
          <w:lang w:eastAsia="cs-CZ"/>
        </w:rPr>
        <w:t>4</w:t>
      </w:r>
      <w:r w:rsidRPr="00063CDB">
        <w:rPr>
          <w:rFonts w:ascii="Palatino" w:eastAsia="Times New Roman" w:hAnsi="Palatino"/>
          <w:b/>
          <w:color w:val="auto"/>
          <w:szCs w:val="22"/>
          <w:lang w:eastAsia="cs-CZ"/>
        </w:rPr>
        <w:t>. června 202</w:t>
      </w:r>
      <w:r w:rsidR="009A1C86" w:rsidRPr="00063CDB">
        <w:rPr>
          <w:rFonts w:ascii="Palatino" w:eastAsia="Times New Roman" w:hAnsi="Palatino"/>
          <w:b/>
          <w:color w:val="auto"/>
          <w:szCs w:val="22"/>
          <w:lang w:eastAsia="cs-CZ"/>
        </w:rPr>
        <w:t>1</w:t>
      </w:r>
      <w:r w:rsidRPr="00063CDB">
        <w:rPr>
          <w:rFonts w:ascii="Palatino" w:eastAsia="Times New Roman" w:hAnsi="Palatino"/>
          <w:color w:val="auto"/>
          <w:sz w:val="22"/>
          <w:szCs w:val="22"/>
          <w:lang w:eastAsia="cs-CZ"/>
        </w:rPr>
        <w:t>.</w:t>
      </w:r>
      <w:r w:rsidRPr="00063CDB">
        <w:rPr>
          <w:rFonts w:ascii="Palatino" w:eastAsia="Times New Roman" w:hAnsi="Palatino"/>
          <w:color w:val="auto"/>
          <w:sz w:val="22"/>
          <w:szCs w:val="22"/>
          <w:lang w:eastAsia="cs-CZ"/>
        </w:rPr>
        <w:br/>
      </w:r>
    </w:p>
    <w:p w:rsidR="00036F95" w:rsidRPr="00036F95" w:rsidRDefault="00036F95" w:rsidP="00036F95">
      <w:pPr>
        <w:pStyle w:val="Default"/>
        <w:jc w:val="right"/>
        <w:rPr>
          <w:rFonts w:ascii="Palatino Linotype" w:hAnsi="Palatino Linotype"/>
          <w:sz w:val="23"/>
          <w:szCs w:val="23"/>
        </w:rPr>
      </w:pPr>
      <w:r w:rsidRPr="00036F95">
        <w:rPr>
          <w:rFonts w:ascii="Palatino Linotype" w:hAnsi="Palatino Linotype"/>
          <w:sz w:val="23"/>
          <w:szCs w:val="23"/>
        </w:rPr>
        <w:t xml:space="preserve"> </w:t>
      </w:r>
    </w:p>
    <w:p w:rsidR="00036F95" w:rsidRDefault="00036F95" w:rsidP="00036F95">
      <w:pPr>
        <w:pStyle w:val="Default"/>
        <w:jc w:val="center"/>
        <w:rPr>
          <w:rFonts w:ascii="Palatino Linotype" w:hAnsi="Palatino Linotype" w:cs="Times New Roman"/>
          <w:b/>
          <w:bCs/>
          <w:szCs w:val="28"/>
        </w:rPr>
      </w:pPr>
      <w:r w:rsidRPr="00036F95">
        <w:rPr>
          <w:rFonts w:ascii="Palatino Linotype" w:hAnsi="Palatino Linotype" w:cs="Times New Roman"/>
          <w:b/>
          <w:bCs/>
          <w:szCs w:val="28"/>
        </w:rPr>
        <w:t xml:space="preserve">Kritéria přijímacího řízení uchazečů do 1. ročníku denní formy vzdělávání </w:t>
      </w:r>
    </w:p>
    <w:p w:rsidR="00036F95" w:rsidRDefault="00036F95" w:rsidP="00036F95">
      <w:pPr>
        <w:pStyle w:val="Default"/>
        <w:jc w:val="center"/>
        <w:rPr>
          <w:rFonts w:ascii="Palatino Linotype" w:hAnsi="Palatino Linotype" w:cs="Times New Roman"/>
          <w:b/>
          <w:bCs/>
          <w:szCs w:val="28"/>
        </w:rPr>
      </w:pPr>
      <w:r w:rsidRPr="00036F95">
        <w:rPr>
          <w:rFonts w:ascii="Palatino Linotype" w:hAnsi="Palatino Linotype" w:cs="Times New Roman"/>
          <w:b/>
          <w:bCs/>
          <w:szCs w:val="28"/>
        </w:rPr>
        <w:t>čtyřleté obory vzdělání s maturitní zkouškou</w:t>
      </w:r>
    </w:p>
    <w:p w:rsidR="00036F95" w:rsidRPr="00036F95" w:rsidRDefault="00036F95" w:rsidP="00036F95">
      <w:pPr>
        <w:pStyle w:val="Default"/>
        <w:jc w:val="center"/>
        <w:rPr>
          <w:rFonts w:ascii="Palatino Linotype" w:hAnsi="Palatino Linotype" w:cs="Times New Roman"/>
          <w:szCs w:val="28"/>
        </w:rPr>
      </w:pPr>
    </w:p>
    <w:p w:rsidR="00036F95" w:rsidRDefault="00036F95" w:rsidP="00DF2133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036F95">
        <w:rPr>
          <w:rFonts w:ascii="Palatino Linotype" w:hAnsi="Palatino Linotype"/>
          <w:sz w:val="22"/>
          <w:szCs w:val="22"/>
        </w:rPr>
        <w:t>Ředitel Střední průmyslové školy stavební a Obchodní akademie, Kadaň, Komenského 562, příspěvkové organizace vyhlašuje v souladu s § 60 zákona č. 561/2004 Sb. (školský zákon)</w:t>
      </w:r>
      <w:r w:rsidR="005734AF">
        <w:rPr>
          <w:rFonts w:ascii="Palatino Linotype" w:hAnsi="Palatino Linotype"/>
          <w:sz w:val="22"/>
          <w:szCs w:val="22"/>
        </w:rPr>
        <w:t xml:space="preserve"> v </w:t>
      </w:r>
      <w:r w:rsidRPr="00036F95">
        <w:rPr>
          <w:rFonts w:ascii="Palatino Linotype" w:hAnsi="Palatino Linotype"/>
          <w:sz w:val="22"/>
          <w:szCs w:val="22"/>
        </w:rPr>
        <w:t xml:space="preserve">platném znění a v souladu s ustanoveními vyhlášky č. 353/2016 Sb. v platném znění </w:t>
      </w:r>
      <w:r w:rsidR="00E45AD5">
        <w:rPr>
          <w:rFonts w:ascii="Palatino Linotype" w:hAnsi="Palatino Linotype"/>
          <w:sz w:val="22"/>
          <w:szCs w:val="22"/>
        </w:rPr>
        <w:t>2</w:t>
      </w:r>
      <w:r w:rsidRPr="00036F95">
        <w:rPr>
          <w:rFonts w:ascii="Palatino Linotype" w:hAnsi="Palatino Linotype"/>
          <w:sz w:val="22"/>
          <w:szCs w:val="22"/>
        </w:rPr>
        <w:t xml:space="preserve">. kolo přijímacího řízení do 1. ročníku vzdělávání ve střední škole do níže uvedených oborů vzdělání denního studia. </w:t>
      </w:r>
    </w:p>
    <w:p w:rsidR="00036F95" w:rsidRPr="00036F95" w:rsidRDefault="00036F95" w:rsidP="00036F95">
      <w:pPr>
        <w:pStyle w:val="Default"/>
        <w:rPr>
          <w:rFonts w:ascii="Palatino Linotype" w:hAnsi="Palatino Linotype"/>
          <w:sz w:val="22"/>
          <w:szCs w:val="22"/>
        </w:rPr>
      </w:pPr>
    </w:p>
    <w:p w:rsidR="00036F95" w:rsidRDefault="00036F95" w:rsidP="00036F95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036F95">
        <w:rPr>
          <w:rFonts w:ascii="Palatino Linotype" w:hAnsi="Palatino Linotype"/>
          <w:b/>
          <w:bCs/>
          <w:sz w:val="22"/>
          <w:szCs w:val="22"/>
        </w:rPr>
        <w:t xml:space="preserve">Obory vzdělání s maturitní zkouškou: </w:t>
      </w:r>
    </w:p>
    <w:p w:rsidR="00036F95" w:rsidRPr="00036F95" w:rsidRDefault="00036F95" w:rsidP="00036F95">
      <w:pPr>
        <w:pStyle w:val="Default"/>
        <w:rPr>
          <w:rFonts w:ascii="Palatino Linotype" w:hAnsi="Palatino Linotype"/>
          <w:sz w:val="22"/>
          <w:szCs w:val="22"/>
        </w:rPr>
      </w:pPr>
    </w:p>
    <w:p w:rsidR="00036F95" w:rsidRPr="00036F95" w:rsidRDefault="00036F95" w:rsidP="00036F95">
      <w:pPr>
        <w:pStyle w:val="Default"/>
        <w:rPr>
          <w:rFonts w:ascii="Palatino Linotype" w:hAnsi="Palatino Linotype"/>
          <w:sz w:val="22"/>
          <w:szCs w:val="22"/>
        </w:rPr>
      </w:pPr>
      <w:r w:rsidRPr="00036F95">
        <w:rPr>
          <w:rFonts w:ascii="Palatino Linotype" w:hAnsi="Palatino Linotype"/>
          <w:b/>
          <w:bCs/>
          <w:sz w:val="22"/>
          <w:szCs w:val="22"/>
        </w:rPr>
        <w:t xml:space="preserve">36-47-M/01 Stavebnictví </w:t>
      </w:r>
    </w:p>
    <w:p w:rsidR="00036F95" w:rsidRPr="00036F95" w:rsidRDefault="00036F95" w:rsidP="00036F95">
      <w:pPr>
        <w:pStyle w:val="Default"/>
        <w:rPr>
          <w:rFonts w:ascii="Palatino Linotype" w:hAnsi="Palatino Linotype"/>
          <w:sz w:val="22"/>
          <w:szCs w:val="22"/>
        </w:rPr>
      </w:pPr>
      <w:r w:rsidRPr="00036F95">
        <w:rPr>
          <w:rFonts w:ascii="Palatino Linotype" w:hAnsi="Palatino Linotype"/>
          <w:b/>
          <w:bCs/>
          <w:sz w:val="22"/>
          <w:szCs w:val="22"/>
        </w:rPr>
        <w:t xml:space="preserve">63-41-M/01 Ekonomika a podnikání (zaměření Management ve stavebnictví) </w:t>
      </w:r>
    </w:p>
    <w:p w:rsidR="00036F95" w:rsidRPr="00036F95" w:rsidRDefault="00036F95" w:rsidP="00036F95">
      <w:pPr>
        <w:pStyle w:val="Default"/>
        <w:rPr>
          <w:rFonts w:ascii="Palatino Linotype" w:hAnsi="Palatino Linotype"/>
          <w:sz w:val="22"/>
          <w:szCs w:val="22"/>
        </w:rPr>
      </w:pPr>
      <w:r w:rsidRPr="00036F95">
        <w:rPr>
          <w:rFonts w:ascii="Palatino Linotype" w:hAnsi="Palatino Linotype"/>
          <w:b/>
          <w:bCs/>
          <w:sz w:val="22"/>
          <w:szCs w:val="22"/>
        </w:rPr>
        <w:t xml:space="preserve">63-41-M/02 Obchodní akademie </w:t>
      </w:r>
    </w:p>
    <w:p w:rsidR="00036F95" w:rsidRDefault="00036F95" w:rsidP="00036F95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036F95">
        <w:rPr>
          <w:rFonts w:ascii="Palatino Linotype" w:hAnsi="Palatino Linotype"/>
          <w:b/>
          <w:bCs/>
          <w:sz w:val="22"/>
          <w:szCs w:val="22"/>
        </w:rPr>
        <w:t xml:space="preserve">36-45-M/01 Technická zařízení budov </w:t>
      </w:r>
    </w:p>
    <w:p w:rsidR="00036F95" w:rsidRPr="00036F95" w:rsidRDefault="00036F95" w:rsidP="00036F95">
      <w:pPr>
        <w:pStyle w:val="Default"/>
        <w:rPr>
          <w:rFonts w:ascii="Palatino Linotype" w:hAnsi="Palatino Linotype"/>
          <w:sz w:val="22"/>
          <w:szCs w:val="22"/>
        </w:rPr>
      </w:pPr>
    </w:p>
    <w:p w:rsidR="00036F95" w:rsidRPr="00036F95" w:rsidRDefault="00E45AD5" w:rsidP="00DF2133">
      <w:pPr>
        <w:pStyle w:val="Default"/>
        <w:numPr>
          <w:ilvl w:val="0"/>
          <w:numId w:val="3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Počet volných míst </w:t>
      </w:r>
      <w:r w:rsidR="00036F95" w:rsidRPr="00036F95">
        <w:rPr>
          <w:rFonts w:ascii="Palatino Linotype" w:hAnsi="Palatino Linotype"/>
          <w:sz w:val="22"/>
          <w:szCs w:val="22"/>
        </w:rPr>
        <w:t xml:space="preserve">do oborů vzdělání: 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02"/>
        <w:gridCol w:w="1849"/>
        <w:gridCol w:w="1701"/>
        <w:gridCol w:w="1814"/>
      </w:tblGrid>
      <w:tr w:rsidR="00E45AD5" w:rsidRPr="00036F95" w:rsidTr="00E45AD5">
        <w:trPr>
          <w:trHeight w:val="241"/>
          <w:jc w:val="center"/>
        </w:trPr>
        <w:tc>
          <w:tcPr>
            <w:tcW w:w="1384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Kód oboru</w:t>
            </w:r>
          </w:p>
        </w:tc>
        <w:tc>
          <w:tcPr>
            <w:tcW w:w="3402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Obor vzdělání</w:t>
            </w:r>
          </w:p>
        </w:tc>
        <w:tc>
          <w:tcPr>
            <w:tcW w:w="1849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Předpokládaný počet přijímaných uchazečů</w:t>
            </w:r>
          </w:p>
        </w:tc>
        <w:tc>
          <w:tcPr>
            <w:tcW w:w="1701" w:type="dxa"/>
          </w:tcPr>
          <w:p w:rsidR="00E45AD5" w:rsidRPr="00036F95" w:rsidRDefault="00C27FB6" w:rsidP="00DF213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Volná místa pro 2. k</w:t>
            </w:r>
            <w:bookmarkStart w:id="0" w:name="_GoBack"/>
            <w:bookmarkEnd w:id="0"/>
            <w:r w:rsidR="00E45AD5">
              <w:rPr>
                <w:rFonts w:ascii="Palatino Linotype" w:hAnsi="Palatino Linotype"/>
                <w:b/>
                <w:bCs/>
                <w:sz w:val="22"/>
                <w:szCs w:val="22"/>
              </w:rPr>
              <w:t>olo přijímacího řízení</w:t>
            </w:r>
          </w:p>
        </w:tc>
        <w:tc>
          <w:tcPr>
            <w:tcW w:w="1814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Forma vzdělávání</w:t>
            </w:r>
          </w:p>
        </w:tc>
      </w:tr>
      <w:tr w:rsidR="00E45AD5" w:rsidRPr="00036F95" w:rsidTr="00E45AD5">
        <w:trPr>
          <w:trHeight w:val="109"/>
          <w:jc w:val="center"/>
        </w:trPr>
        <w:tc>
          <w:tcPr>
            <w:tcW w:w="1384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36-47-M/01</w:t>
            </w:r>
          </w:p>
        </w:tc>
        <w:tc>
          <w:tcPr>
            <w:tcW w:w="3402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Stavebnictví</w:t>
            </w:r>
          </w:p>
        </w:tc>
        <w:tc>
          <w:tcPr>
            <w:tcW w:w="1849" w:type="dxa"/>
            <w:vAlign w:val="center"/>
          </w:tcPr>
          <w:p w:rsidR="00E45AD5" w:rsidRPr="00036F95" w:rsidRDefault="0057019D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:rsidR="00E45AD5" w:rsidRPr="00063CDB" w:rsidRDefault="0057019D" w:rsidP="0057019D">
            <w:pPr>
              <w:pStyle w:val="Default"/>
              <w:jc w:val="center"/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</w:pPr>
            <w:r w:rsidRPr="00063CDB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814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denní</w:t>
            </w:r>
          </w:p>
        </w:tc>
      </w:tr>
      <w:tr w:rsidR="00E45AD5" w:rsidRPr="00036F95" w:rsidTr="00E45AD5">
        <w:trPr>
          <w:trHeight w:val="287"/>
          <w:jc w:val="center"/>
        </w:trPr>
        <w:tc>
          <w:tcPr>
            <w:tcW w:w="1384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63-41-M/01</w:t>
            </w:r>
          </w:p>
        </w:tc>
        <w:tc>
          <w:tcPr>
            <w:tcW w:w="3402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Ekonomika a podnikání</w:t>
            </w:r>
          </w:p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(Management ve stavebnictví)</w:t>
            </w:r>
          </w:p>
        </w:tc>
        <w:tc>
          <w:tcPr>
            <w:tcW w:w="1849" w:type="dxa"/>
            <w:vAlign w:val="center"/>
          </w:tcPr>
          <w:p w:rsidR="00E45AD5" w:rsidRPr="00036F95" w:rsidRDefault="0057019D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E45AD5" w:rsidRPr="00063CDB" w:rsidRDefault="009A1C86" w:rsidP="00E45AD5">
            <w:pPr>
              <w:pStyle w:val="Default"/>
              <w:jc w:val="center"/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</w:pPr>
            <w:r w:rsidRPr="00063CDB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  <w:t>21</w:t>
            </w:r>
          </w:p>
        </w:tc>
        <w:tc>
          <w:tcPr>
            <w:tcW w:w="1814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denní</w:t>
            </w:r>
          </w:p>
        </w:tc>
      </w:tr>
      <w:tr w:rsidR="00E45AD5" w:rsidRPr="00036F95" w:rsidTr="00E45AD5">
        <w:trPr>
          <w:trHeight w:val="109"/>
          <w:jc w:val="center"/>
        </w:trPr>
        <w:tc>
          <w:tcPr>
            <w:tcW w:w="1384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63-41-M/02</w:t>
            </w:r>
          </w:p>
        </w:tc>
        <w:tc>
          <w:tcPr>
            <w:tcW w:w="3402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Obchodní akademie</w:t>
            </w:r>
          </w:p>
        </w:tc>
        <w:tc>
          <w:tcPr>
            <w:tcW w:w="1849" w:type="dxa"/>
            <w:vAlign w:val="center"/>
          </w:tcPr>
          <w:p w:rsidR="00E45AD5" w:rsidRPr="00036F95" w:rsidRDefault="0057019D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E45AD5" w:rsidRPr="00063CDB" w:rsidRDefault="009A1C86" w:rsidP="00E45AD5">
            <w:pPr>
              <w:pStyle w:val="Default"/>
              <w:jc w:val="center"/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</w:pPr>
            <w:r w:rsidRPr="00063CDB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1814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denní</w:t>
            </w:r>
          </w:p>
        </w:tc>
      </w:tr>
      <w:tr w:rsidR="00E45AD5" w:rsidRPr="00036F95" w:rsidTr="00E45AD5">
        <w:trPr>
          <w:trHeight w:val="109"/>
          <w:jc w:val="center"/>
        </w:trPr>
        <w:tc>
          <w:tcPr>
            <w:tcW w:w="1384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36-45-M/01</w:t>
            </w:r>
          </w:p>
        </w:tc>
        <w:tc>
          <w:tcPr>
            <w:tcW w:w="3402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Technická zařízení budov</w:t>
            </w:r>
          </w:p>
        </w:tc>
        <w:tc>
          <w:tcPr>
            <w:tcW w:w="1849" w:type="dxa"/>
            <w:vAlign w:val="center"/>
          </w:tcPr>
          <w:p w:rsidR="00E45AD5" w:rsidRPr="00036F95" w:rsidRDefault="00E45AD5" w:rsidP="007533C2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E45AD5" w:rsidRPr="00063CDB" w:rsidRDefault="009A1C86" w:rsidP="00E45AD5">
            <w:pPr>
              <w:pStyle w:val="Default"/>
              <w:jc w:val="center"/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</w:pPr>
            <w:r w:rsidRPr="00063CDB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  <w:t>25</w:t>
            </w:r>
          </w:p>
        </w:tc>
        <w:tc>
          <w:tcPr>
            <w:tcW w:w="1814" w:type="dxa"/>
            <w:vAlign w:val="center"/>
          </w:tcPr>
          <w:p w:rsidR="00E45AD5" w:rsidRPr="00036F95" w:rsidRDefault="00E45AD5" w:rsidP="00DF2133">
            <w:pPr>
              <w:pStyle w:val="Default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b/>
                <w:bCs/>
                <w:sz w:val="22"/>
                <w:szCs w:val="22"/>
              </w:rPr>
              <w:t>denní</w:t>
            </w:r>
          </w:p>
        </w:tc>
      </w:tr>
    </w:tbl>
    <w:p w:rsidR="00036F95" w:rsidRPr="00036F95" w:rsidRDefault="00036F95" w:rsidP="00036F95">
      <w:pPr>
        <w:pStyle w:val="Default"/>
        <w:rPr>
          <w:rFonts w:ascii="Palatino Linotype" w:hAnsi="Palatino Linotype"/>
        </w:rPr>
      </w:pPr>
    </w:p>
    <w:p w:rsidR="00036F95" w:rsidRDefault="00036F95" w:rsidP="004154A4">
      <w:pPr>
        <w:pStyle w:val="Default"/>
        <w:numPr>
          <w:ilvl w:val="0"/>
          <w:numId w:val="3"/>
        </w:numPr>
        <w:spacing w:after="120"/>
        <w:ind w:left="1060" w:hanging="357"/>
        <w:jc w:val="both"/>
        <w:rPr>
          <w:rFonts w:ascii="Palatino Linotype" w:hAnsi="Palatino Linotype"/>
          <w:sz w:val="22"/>
          <w:szCs w:val="22"/>
        </w:rPr>
      </w:pPr>
      <w:r w:rsidRPr="00DF2133">
        <w:rPr>
          <w:rFonts w:ascii="Palatino Linotype" w:hAnsi="Palatino Linotype"/>
          <w:sz w:val="22"/>
          <w:szCs w:val="22"/>
        </w:rPr>
        <w:t xml:space="preserve">Podmínkou přijetí je zdravotní způsobilost ke vzdělávání v oboru potvrzená lékařem pro obory vzdělání: Stavebnictví, Technická zařízení budov, Ekonomika a podnikání. </w:t>
      </w:r>
    </w:p>
    <w:p w:rsidR="001D3E22" w:rsidRPr="004154A4" w:rsidRDefault="001D3E22" w:rsidP="001D3E22">
      <w:pPr>
        <w:pStyle w:val="Defaul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 w:rsidRPr="004154A4">
        <w:rPr>
          <w:rFonts w:ascii="Palatino Linotype" w:hAnsi="Palatino Linotype"/>
          <w:sz w:val="22"/>
          <w:szCs w:val="22"/>
        </w:rPr>
        <w:t>Prospěch uchazeče v</w:t>
      </w:r>
      <w:r>
        <w:rPr>
          <w:rFonts w:ascii="Palatino Linotype" w:hAnsi="Palatino Linotype"/>
          <w:sz w:val="22"/>
          <w:szCs w:val="22"/>
        </w:rPr>
        <w:t>e</w:t>
      </w:r>
      <w:r w:rsidRPr="004154A4">
        <w:rPr>
          <w:rFonts w:ascii="Palatino Linotype" w:hAnsi="Palatino Linotype"/>
          <w:sz w:val="22"/>
          <w:szCs w:val="22"/>
        </w:rPr>
        <w:t xml:space="preserve"> dvou klasifikačních obdobích na základním stupni vzdělávání (tj. za první pololetí 8. ročníku základní školy a první pololetí 9. ročníku základní školy, případně srovnatelných ročníků víceletých gymnázií). Průměrný prospěch se </w:t>
      </w:r>
      <w:r w:rsidRPr="004154A4">
        <w:rPr>
          <w:rFonts w:ascii="Palatino Linotype" w:hAnsi="Palatino Linotype"/>
          <w:sz w:val="22"/>
          <w:szCs w:val="22"/>
        </w:rPr>
        <w:lastRenderedPageBreak/>
        <w:t xml:space="preserve">vypočte tak, že se průměry </w:t>
      </w:r>
      <w:r w:rsidR="00FC4D1E" w:rsidRPr="004154A4">
        <w:rPr>
          <w:rFonts w:ascii="Palatino Linotype" w:hAnsi="Palatino Linotype"/>
          <w:sz w:val="22"/>
          <w:szCs w:val="22"/>
        </w:rPr>
        <w:t xml:space="preserve">za první pololetí 8. ročníku základní školy a první pololetí 9. ročníku </w:t>
      </w:r>
      <w:r w:rsidRPr="004154A4">
        <w:rPr>
          <w:rFonts w:ascii="Palatino Linotype" w:hAnsi="Palatino Linotype"/>
          <w:sz w:val="22"/>
          <w:szCs w:val="22"/>
        </w:rPr>
        <w:t>uvedené na přihlášce sečtou,</w:t>
      </w:r>
      <w:r w:rsidR="00FC4D1E">
        <w:rPr>
          <w:rFonts w:ascii="Palatino Linotype" w:hAnsi="Palatino Linotype"/>
          <w:sz w:val="22"/>
          <w:szCs w:val="22"/>
        </w:rPr>
        <w:t xml:space="preserve"> vydělí dvěma a zaokrouhlí na 2 </w:t>
      </w:r>
      <w:r w:rsidRPr="004154A4">
        <w:rPr>
          <w:rFonts w:ascii="Palatino Linotype" w:hAnsi="Palatino Linotype"/>
          <w:sz w:val="22"/>
          <w:szCs w:val="22"/>
        </w:rPr>
        <w:t xml:space="preserve">desetinná místa. Tento průměr se převede na bodové hodnocení. </w:t>
      </w:r>
    </w:p>
    <w:p w:rsidR="001D3E22" w:rsidRPr="00036F95" w:rsidRDefault="001D3E22" w:rsidP="001D3E22">
      <w:pPr>
        <w:pStyle w:val="Default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268"/>
      </w:tblGrid>
      <w:tr w:rsidR="001D3E22" w:rsidRPr="00036F95" w:rsidTr="00C01447">
        <w:trPr>
          <w:trHeight w:val="111"/>
          <w:jc w:val="center"/>
        </w:trPr>
        <w:tc>
          <w:tcPr>
            <w:tcW w:w="1584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Průměr </w:t>
            </w:r>
          </w:p>
        </w:tc>
        <w:tc>
          <w:tcPr>
            <w:tcW w:w="2268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Bodové ohodnocení </w:t>
            </w:r>
          </w:p>
        </w:tc>
      </w:tr>
      <w:tr w:rsidR="001D3E22" w:rsidRPr="00036F95" w:rsidTr="00C01447">
        <w:trPr>
          <w:trHeight w:val="111"/>
          <w:jc w:val="center"/>
        </w:trPr>
        <w:tc>
          <w:tcPr>
            <w:tcW w:w="1584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Do 1,50 </w:t>
            </w:r>
          </w:p>
        </w:tc>
        <w:tc>
          <w:tcPr>
            <w:tcW w:w="2268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50 </w:t>
            </w:r>
          </w:p>
        </w:tc>
      </w:tr>
      <w:tr w:rsidR="001D3E22" w:rsidRPr="00036F95" w:rsidTr="00C01447">
        <w:trPr>
          <w:trHeight w:val="111"/>
          <w:jc w:val="center"/>
        </w:trPr>
        <w:tc>
          <w:tcPr>
            <w:tcW w:w="1584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Do 1,80 </w:t>
            </w:r>
          </w:p>
        </w:tc>
        <w:tc>
          <w:tcPr>
            <w:tcW w:w="2268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45 </w:t>
            </w:r>
          </w:p>
        </w:tc>
      </w:tr>
      <w:tr w:rsidR="001D3E22" w:rsidRPr="00036F95" w:rsidTr="00C01447">
        <w:trPr>
          <w:trHeight w:val="111"/>
          <w:jc w:val="center"/>
        </w:trPr>
        <w:tc>
          <w:tcPr>
            <w:tcW w:w="1584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Do 2,00 </w:t>
            </w:r>
          </w:p>
        </w:tc>
        <w:tc>
          <w:tcPr>
            <w:tcW w:w="2268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40 </w:t>
            </w:r>
          </w:p>
        </w:tc>
      </w:tr>
      <w:tr w:rsidR="001D3E22" w:rsidRPr="00036F95" w:rsidTr="00C01447">
        <w:trPr>
          <w:trHeight w:val="111"/>
          <w:jc w:val="center"/>
        </w:trPr>
        <w:tc>
          <w:tcPr>
            <w:tcW w:w="1584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Do 2,20 </w:t>
            </w:r>
          </w:p>
        </w:tc>
        <w:tc>
          <w:tcPr>
            <w:tcW w:w="2268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30 </w:t>
            </w:r>
          </w:p>
        </w:tc>
      </w:tr>
      <w:tr w:rsidR="001D3E22" w:rsidRPr="00036F95" w:rsidTr="00C01447">
        <w:trPr>
          <w:trHeight w:val="111"/>
          <w:jc w:val="center"/>
        </w:trPr>
        <w:tc>
          <w:tcPr>
            <w:tcW w:w="1584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Do 2,50 </w:t>
            </w:r>
          </w:p>
        </w:tc>
        <w:tc>
          <w:tcPr>
            <w:tcW w:w="2268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20 </w:t>
            </w:r>
          </w:p>
        </w:tc>
      </w:tr>
      <w:tr w:rsidR="001D3E22" w:rsidRPr="00036F95" w:rsidTr="00C01447">
        <w:trPr>
          <w:trHeight w:val="111"/>
          <w:jc w:val="center"/>
        </w:trPr>
        <w:tc>
          <w:tcPr>
            <w:tcW w:w="1584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Do 2, 70 </w:t>
            </w:r>
          </w:p>
        </w:tc>
        <w:tc>
          <w:tcPr>
            <w:tcW w:w="2268" w:type="dxa"/>
          </w:tcPr>
          <w:p w:rsidR="001D3E22" w:rsidRPr="00036F95" w:rsidRDefault="001D3E22" w:rsidP="00C01447">
            <w:pPr>
              <w:pStyle w:val="Default"/>
              <w:rPr>
                <w:rFonts w:ascii="Palatino Linotype" w:hAnsi="Palatino Linotype"/>
                <w:sz w:val="22"/>
                <w:szCs w:val="22"/>
              </w:rPr>
            </w:pPr>
            <w:r w:rsidRPr="00036F95">
              <w:rPr>
                <w:rFonts w:ascii="Palatino Linotype" w:hAnsi="Palatino Linotype"/>
                <w:sz w:val="22"/>
                <w:szCs w:val="22"/>
              </w:rPr>
              <w:t xml:space="preserve">10 </w:t>
            </w:r>
          </w:p>
        </w:tc>
      </w:tr>
    </w:tbl>
    <w:p w:rsidR="001D3E22" w:rsidRPr="00DF2133" w:rsidRDefault="001D3E22" w:rsidP="001D3E22">
      <w:pPr>
        <w:pStyle w:val="Default"/>
        <w:spacing w:after="120"/>
        <w:ind w:left="1065"/>
        <w:jc w:val="both"/>
        <w:rPr>
          <w:rFonts w:ascii="Palatino Linotype" w:hAnsi="Palatino Linotype"/>
          <w:sz w:val="22"/>
          <w:szCs w:val="22"/>
        </w:rPr>
      </w:pPr>
    </w:p>
    <w:p w:rsidR="00036F95" w:rsidRPr="00036F95" w:rsidRDefault="00036F95" w:rsidP="00036F95">
      <w:pPr>
        <w:pStyle w:val="Default"/>
        <w:rPr>
          <w:rFonts w:ascii="Palatino Linotype" w:hAnsi="Palatino Linotype"/>
        </w:rPr>
      </w:pPr>
    </w:p>
    <w:p w:rsidR="00036F95" w:rsidRPr="00036F95" w:rsidRDefault="00036F95" w:rsidP="00E45AD5">
      <w:pPr>
        <w:pStyle w:val="Default"/>
        <w:ind w:left="1065"/>
        <w:jc w:val="both"/>
        <w:rPr>
          <w:rFonts w:ascii="Palatino Linotype" w:hAnsi="Palatino Linotype"/>
          <w:sz w:val="22"/>
          <w:szCs w:val="22"/>
        </w:rPr>
      </w:pPr>
    </w:p>
    <w:p w:rsidR="00036F95" w:rsidRPr="00E45AD5" w:rsidRDefault="00036F95" w:rsidP="005734AF">
      <w:pPr>
        <w:pStyle w:val="Default"/>
        <w:numPr>
          <w:ilvl w:val="0"/>
          <w:numId w:val="3"/>
        </w:numPr>
        <w:ind w:left="1050"/>
        <w:jc w:val="both"/>
        <w:rPr>
          <w:rFonts w:ascii="Palatino Linotype" w:hAnsi="Palatino Linotype"/>
          <w:sz w:val="22"/>
          <w:szCs w:val="22"/>
        </w:rPr>
      </w:pPr>
      <w:r w:rsidRPr="00E45AD5">
        <w:rPr>
          <w:rFonts w:ascii="Palatino Linotype" w:hAnsi="Palatino Linotype"/>
          <w:sz w:val="22"/>
          <w:szCs w:val="22"/>
        </w:rPr>
        <w:t xml:space="preserve">O přijetí uchazeče rozhoduje bodové pořadí ve zvoleném oboru dané výsledným počtem získaných bodů. Maximální možný počet je </w:t>
      </w:r>
      <w:r w:rsidR="00E45AD5" w:rsidRPr="00E45AD5">
        <w:rPr>
          <w:rFonts w:ascii="Palatino Linotype" w:hAnsi="Palatino Linotype"/>
          <w:sz w:val="22"/>
          <w:szCs w:val="22"/>
        </w:rPr>
        <w:t>50</w:t>
      </w:r>
      <w:r w:rsidRPr="00E45AD5">
        <w:rPr>
          <w:rFonts w:ascii="Palatino Linotype" w:hAnsi="Palatino Linotype"/>
          <w:sz w:val="22"/>
          <w:szCs w:val="22"/>
        </w:rPr>
        <w:t xml:space="preserve"> bodů. Minimální počet je 10 bodů. Počet přijatých uchazečů je dán maximálním počtem přijímaných žáků na daný obor vzdělání, pokud uchazeči splnili podmínky pro přijetí do zvoleného oboru studia. </w:t>
      </w:r>
    </w:p>
    <w:p w:rsidR="00036F95" w:rsidRPr="00036F95" w:rsidRDefault="00036F95" w:rsidP="005734AF">
      <w:pPr>
        <w:pStyle w:val="Default"/>
        <w:ind w:left="1050"/>
        <w:jc w:val="both"/>
        <w:rPr>
          <w:rFonts w:ascii="Palatino Linotype" w:hAnsi="Palatino Linotype"/>
          <w:sz w:val="22"/>
          <w:szCs w:val="22"/>
        </w:rPr>
      </w:pPr>
      <w:r w:rsidRPr="00036F95">
        <w:rPr>
          <w:rFonts w:ascii="Palatino Linotype" w:hAnsi="Palatino Linotype"/>
          <w:sz w:val="22"/>
          <w:szCs w:val="22"/>
        </w:rPr>
        <w:t xml:space="preserve">V případě rovnosti celkového součtu bodů jsou dalšími kritérii: </w:t>
      </w:r>
    </w:p>
    <w:p w:rsidR="00036F95" w:rsidRPr="00036F95" w:rsidRDefault="00DF2133" w:rsidP="005734AF">
      <w:pPr>
        <w:pStyle w:val="Default"/>
        <w:ind w:left="105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036F95" w:rsidRPr="00036F95">
        <w:rPr>
          <w:rFonts w:ascii="Palatino Linotype" w:hAnsi="Palatino Linotype"/>
          <w:sz w:val="22"/>
          <w:szCs w:val="22"/>
        </w:rPr>
        <w:t xml:space="preserve">a. lepší studijní výsledky ze základní školy </w:t>
      </w:r>
    </w:p>
    <w:p w:rsidR="00E45AD5" w:rsidRPr="00036F95" w:rsidRDefault="00DF2133" w:rsidP="00E45AD5">
      <w:pPr>
        <w:pStyle w:val="Default"/>
        <w:ind w:left="105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:rsidR="00036F95" w:rsidRDefault="00036F95" w:rsidP="005734AF">
      <w:pPr>
        <w:pStyle w:val="Default"/>
        <w:ind w:left="1050"/>
        <w:jc w:val="both"/>
        <w:rPr>
          <w:rFonts w:ascii="Palatino Linotype" w:hAnsi="Palatino Linotype"/>
          <w:sz w:val="22"/>
          <w:szCs w:val="22"/>
        </w:rPr>
      </w:pPr>
      <w:r w:rsidRPr="00036F95">
        <w:rPr>
          <w:rFonts w:ascii="Palatino Linotype" w:hAnsi="Palatino Linotype"/>
          <w:sz w:val="22"/>
          <w:szCs w:val="22"/>
        </w:rPr>
        <w:t xml:space="preserve"> </w:t>
      </w:r>
    </w:p>
    <w:p w:rsidR="001D3E22" w:rsidRDefault="001D3E22" w:rsidP="005734AF">
      <w:pPr>
        <w:pStyle w:val="Default"/>
        <w:ind w:left="1050"/>
        <w:jc w:val="both"/>
        <w:rPr>
          <w:rFonts w:ascii="Palatino Linotype" w:hAnsi="Palatino Linotype"/>
          <w:sz w:val="22"/>
          <w:szCs w:val="22"/>
        </w:rPr>
      </w:pPr>
    </w:p>
    <w:p w:rsidR="004154A4" w:rsidRDefault="004154A4" w:rsidP="005734AF">
      <w:pPr>
        <w:pStyle w:val="Default"/>
        <w:ind w:left="1050"/>
        <w:jc w:val="both"/>
        <w:rPr>
          <w:rFonts w:ascii="Palatino Linotype" w:hAnsi="Palatino Linotype"/>
          <w:sz w:val="22"/>
          <w:szCs w:val="22"/>
        </w:rPr>
      </w:pPr>
    </w:p>
    <w:p w:rsidR="00036F95" w:rsidRDefault="00036F95" w:rsidP="004154A4">
      <w:pPr>
        <w:pStyle w:val="Default"/>
        <w:ind w:left="1050"/>
        <w:jc w:val="both"/>
        <w:rPr>
          <w:rFonts w:ascii="Palatino Linotype" w:hAnsi="Palatino Linotype"/>
          <w:sz w:val="22"/>
          <w:szCs w:val="22"/>
        </w:rPr>
      </w:pPr>
    </w:p>
    <w:p w:rsidR="005734AF" w:rsidRDefault="005734AF" w:rsidP="004154A4">
      <w:pPr>
        <w:pStyle w:val="Default"/>
        <w:ind w:left="1050"/>
        <w:jc w:val="both"/>
        <w:rPr>
          <w:rFonts w:ascii="Palatino Linotype" w:hAnsi="Palatino Linotype"/>
          <w:sz w:val="22"/>
          <w:szCs w:val="22"/>
        </w:rPr>
      </w:pPr>
    </w:p>
    <w:p w:rsidR="00FC4D1E" w:rsidRDefault="00FC4D1E" w:rsidP="004154A4">
      <w:pPr>
        <w:pStyle w:val="Default"/>
        <w:ind w:left="1050"/>
        <w:jc w:val="both"/>
        <w:rPr>
          <w:rFonts w:ascii="Palatino Linotype" w:hAnsi="Palatino Linotype"/>
          <w:sz w:val="22"/>
          <w:szCs w:val="22"/>
        </w:rPr>
      </w:pPr>
    </w:p>
    <w:p w:rsidR="000E0A83" w:rsidRPr="00036F95" w:rsidRDefault="000E0A83" w:rsidP="004154A4">
      <w:pPr>
        <w:pStyle w:val="Default"/>
        <w:ind w:left="1050"/>
        <w:jc w:val="both"/>
        <w:rPr>
          <w:rFonts w:ascii="Palatino Linotype" w:hAnsi="Palatino Linotype"/>
          <w:sz w:val="22"/>
          <w:szCs w:val="22"/>
        </w:rPr>
      </w:pPr>
    </w:p>
    <w:p w:rsidR="00036F95" w:rsidRPr="00DF2133" w:rsidRDefault="00036F95" w:rsidP="00DF2133">
      <w:pPr>
        <w:pStyle w:val="Default"/>
        <w:rPr>
          <w:rFonts w:ascii="Palatino Linotype" w:hAnsi="Palatino Linotype"/>
          <w:sz w:val="22"/>
          <w:szCs w:val="22"/>
        </w:rPr>
      </w:pPr>
      <w:r w:rsidRPr="00036F95">
        <w:rPr>
          <w:rFonts w:ascii="Palatino Linotype" w:hAnsi="Palatino Linotype"/>
          <w:sz w:val="22"/>
          <w:szCs w:val="22"/>
        </w:rPr>
        <w:t xml:space="preserve">V Kadani </w:t>
      </w:r>
      <w:r w:rsidR="00E45AD5">
        <w:rPr>
          <w:rFonts w:ascii="Palatino Linotype" w:hAnsi="Palatino Linotype"/>
          <w:sz w:val="22"/>
          <w:szCs w:val="22"/>
        </w:rPr>
        <w:t>3. června</w:t>
      </w:r>
      <w:r w:rsidRPr="00036F95">
        <w:rPr>
          <w:rFonts w:ascii="Palatino Linotype" w:hAnsi="Palatino Linotype"/>
          <w:sz w:val="22"/>
          <w:szCs w:val="22"/>
        </w:rPr>
        <w:t xml:space="preserve"> </w:t>
      </w:r>
      <w:r w:rsidR="004154A4">
        <w:rPr>
          <w:rFonts w:ascii="Palatino Linotype" w:hAnsi="Palatino Linotype"/>
          <w:sz w:val="22"/>
          <w:szCs w:val="22"/>
        </w:rPr>
        <w:t>2021</w:t>
      </w:r>
      <w:r w:rsidR="00DF2133">
        <w:rPr>
          <w:rFonts w:ascii="Palatino Linotype" w:hAnsi="Palatino Linotype"/>
          <w:sz w:val="22"/>
          <w:szCs w:val="22"/>
        </w:rPr>
        <w:tab/>
      </w:r>
      <w:r w:rsidR="00DF2133">
        <w:rPr>
          <w:rFonts w:ascii="Palatino Linotype" w:hAnsi="Palatino Linotype"/>
          <w:sz w:val="22"/>
          <w:szCs w:val="22"/>
        </w:rPr>
        <w:tab/>
      </w:r>
      <w:r w:rsidR="00DF2133">
        <w:rPr>
          <w:rFonts w:ascii="Palatino Linotype" w:hAnsi="Palatino Linotype"/>
          <w:sz w:val="22"/>
          <w:szCs w:val="22"/>
        </w:rPr>
        <w:tab/>
      </w:r>
      <w:r w:rsidR="00DF2133">
        <w:rPr>
          <w:rFonts w:ascii="Palatino Linotype" w:hAnsi="Palatino Linotype"/>
          <w:sz w:val="22"/>
          <w:szCs w:val="22"/>
        </w:rPr>
        <w:tab/>
      </w:r>
      <w:r w:rsidR="00DF2133">
        <w:rPr>
          <w:rFonts w:ascii="Palatino Linotype" w:hAnsi="Palatino Linotype"/>
          <w:sz w:val="22"/>
          <w:szCs w:val="22"/>
        </w:rPr>
        <w:tab/>
      </w:r>
      <w:r w:rsidR="00DF2133">
        <w:rPr>
          <w:rFonts w:ascii="Palatino Linotype" w:hAnsi="Palatino Linotype"/>
          <w:sz w:val="22"/>
          <w:szCs w:val="22"/>
        </w:rPr>
        <w:tab/>
      </w:r>
      <w:r w:rsidRPr="00036F95">
        <w:rPr>
          <w:rFonts w:ascii="Palatino Linotype" w:hAnsi="Palatino Linotype"/>
          <w:b/>
          <w:bCs/>
          <w:sz w:val="22"/>
          <w:szCs w:val="22"/>
        </w:rPr>
        <w:t xml:space="preserve">PaedDr. Zdeněk Hrdina </w:t>
      </w:r>
      <w:r w:rsidR="00DF2133">
        <w:rPr>
          <w:rFonts w:ascii="Palatino Linotype" w:hAnsi="Palatino Linotype"/>
          <w:b/>
          <w:bCs/>
          <w:sz w:val="22"/>
          <w:szCs w:val="22"/>
        </w:rPr>
        <w:tab/>
      </w:r>
      <w:r w:rsidR="00DF2133">
        <w:rPr>
          <w:rFonts w:ascii="Palatino Linotype" w:hAnsi="Palatino Linotype"/>
          <w:b/>
          <w:bCs/>
          <w:sz w:val="22"/>
          <w:szCs w:val="22"/>
        </w:rPr>
        <w:tab/>
      </w:r>
      <w:r w:rsidR="00DF2133">
        <w:rPr>
          <w:rFonts w:ascii="Palatino Linotype" w:hAnsi="Palatino Linotype"/>
          <w:b/>
          <w:bCs/>
          <w:sz w:val="22"/>
          <w:szCs w:val="22"/>
        </w:rPr>
        <w:tab/>
      </w:r>
      <w:r w:rsidR="00DF2133">
        <w:rPr>
          <w:rFonts w:ascii="Palatino Linotype" w:hAnsi="Palatino Linotype"/>
          <w:b/>
          <w:bCs/>
          <w:sz w:val="22"/>
          <w:szCs w:val="22"/>
        </w:rPr>
        <w:tab/>
      </w:r>
      <w:r w:rsidR="00DF2133">
        <w:rPr>
          <w:rFonts w:ascii="Palatino Linotype" w:hAnsi="Palatino Linotype"/>
          <w:b/>
          <w:bCs/>
          <w:sz w:val="22"/>
          <w:szCs w:val="22"/>
        </w:rPr>
        <w:tab/>
      </w:r>
      <w:r w:rsidR="00DF2133">
        <w:rPr>
          <w:rFonts w:ascii="Palatino Linotype" w:hAnsi="Palatino Linotype"/>
          <w:b/>
          <w:bCs/>
          <w:sz w:val="22"/>
          <w:szCs w:val="22"/>
        </w:rPr>
        <w:tab/>
      </w:r>
      <w:r w:rsidR="00DF2133">
        <w:rPr>
          <w:rFonts w:ascii="Palatino Linotype" w:hAnsi="Palatino Linotype"/>
          <w:b/>
          <w:bCs/>
          <w:sz w:val="22"/>
          <w:szCs w:val="22"/>
        </w:rPr>
        <w:tab/>
      </w:r>
      <w:r w:rsidR="00DF2133">
        <w:rPr>
          <w:rFonts w:ascii="Palatino Linotype" w:hAnsi="Palatino Linotype"/>
          <w:b/>
          <w:bCs/>
          <w:sz w:val="22"/>
          <w:szCs w:val="22"/>
        </w:rPr>
        <w:tab/>
      </w:r>
      <w:r w:rsidR="00DF2133">
        <w:rPr>
          <w:rFonts w:ascii="Palatino Linotype" w:hAnsi="Palatino Linotype"/>
          <w:b/>
          <w:bCs/>
          <w:sz w:val="22"/>
          <w:szCs w:val="22"/>
        </w:rPr>
        <w:tab/>
      </w:r>
      <w:r w:rsidR="00DF2133">
        <w:rPr>
          <w:rFonts w:ascii="Palatino Linotype" w:hAnsi="Palatino Linotype"/>
          <w:b/>
          <w:bCs/>
          <w:sz w:val="22"/>
          <w:szCs w:val="22"/>
        </w:rPr>
        <w:tab/>
      </w:r>
      <w:r w:rsidRPr="00036F95">
        <w:rPr>
          <w:rFonts w:ascii="Palatino Linotype" w:hAnsi="Palatino Linotype"/>
          <w:sz w:val="22"/>
          <w:szCs w:val="22"/>
        </w:rPr>
        <w:t>ředitel školy</w:t>
      </w:r>
    </w:p>
    <w:sectPr w:rsidR="00036F95" w:rsidRPr="00DF2133" w:rsidSect="00FC4D1E">
      <w:pgSz w:w="11906" w:h="16838"/>
      <w:pgMar w:top="992" w:right="1133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85"/>
    <w:multiLevelType w:val="hybridMultilevel"/>
    <w:tmpl w:val="5660007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303F50"/>
    <w:multiLevelType w:val="hybridMultilevel"/>
    <w:tmpl w:val="64E2BA26"/>
    <w:lvl w:ilvl="0" w:tplc="55EA7D9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02498"/>
    <w:multiLevelType w:val="hybridMultilevel"/>
    <w:tmpl w:val="FD041F56"/>
    <w:lvl w:ilvl="0" w:tplc="0A744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F6796"/>
    <w:multiLevelType w:val="hybridMultilevel"/>
    <w:tmpl w:val="7B443ED2"/>
    <w:lvl w:ilvl="0" w:tplc="55EA7D96">
      <w:start w:val="2"/>
      <w:numFmt w:val="decimal"/>
      <w:lvlText w:val="%1."/>
      <w:lvlJc w:val="left"/>
      <w:pPr>
        <w:ind w:left="142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>
    <w:nsid w:val="50633BC3"/>
    <w:multiLevelType w:val="hybridMultilevel"/>
    <w:tmpl w:val="3964257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D30550F"/>
    <w:multiLevelType w:val="hybridMultilevel"/>
    <w:tmpl w:val="AB1828F0"/>
    <w:lvl w:ilvl="0" w:tplc="DFA0B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4E1718"/>
    <w:multiLevelType w:val="hybridMultilevel"/>
    <w:tmpl w:val="6F50A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A7384"/>
    <w:multiLevelType w:val="hybridMultilevel"/>
    <w:tmpl w:val="52AC2BE0"/>
    <w:lvl w:ilvl="0" w:tplc="0405000F">
      <w:start w:val="1"/>
      <w:numFmt w:val="decimal"/>
      <w:lvlText w:val="%1."/>
      <w:lvlJc w:val="left"/>
      <w:pPr>
        <w:ind w:left="1770" w:hanging="360"/>
      </w:p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F1E1F69"/>
    <w:multiLevelType w:val="hybridMultilevel"/>
    <w:tmpl w:val="8C5A0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EA1811"/>
    <w:multiLevelType w:val="hybridMultilevel"/>
    <w:tmpl w:val="1458D4E0"/>
    <w:lvl w:ilvl="0" w:tplc="DFA0B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114E32"/>
    <w:multiLevelType w:val="hybridMultilevel"/>
    <w:tmpl w:val="37AC3198"/>
    <w:lvl w:ilvl="0" w:tplc="DFA0B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95"/>
    <w:rsid w:val="00036F95"/>
    <w:rsid w:val="00063CDB"/>
    <w:rsid w:val="000E0A83"/>
    <w:rsid w:val="001D3E22"/>
    <w:rsid w:val="00270D95"/>
    <w:rsid w:val="003D07BA"/>
    <w:rsid w:val="004154A4"/>
    <w:rsid w:val="0057019D"/>
    <w:rsid w:val="005734AF"/>
    <w:rsid w:val="00622A3E"/>
    <w:rsid w:val="006A6264"/>
    <w:rsid w:val="00735238"/>
    <w:rsid w:val="007533C2"/>
    <w:rsid w:val="009A1C86"/>
    <w:rsid w:val="00A957F5"/>
    <w:rsid w:val="00AC79AE"/>
    <w:rsid w:val="00BF16F1"/>
    <w:rsid w:val="00C27FB6"/>
    <w:rsid w:val="00DF2133"/>
    <w:rsid w:val="00E45AD5"/>
    <w:rsid w:val="00F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AD5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6F9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154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A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A8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45AD5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AD5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6F9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154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A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A8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45AD5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</dc:creator>
  <cp:lastModifiedBy>Krausová</cp:lastModifiedBy>
  <cp:revision>4</cp:revision>
  <cp:lastPrinted>2021-06-02T11:17:00Z</cp:lastPrinted>
  <dcterms:created xsi:type="dcterms:W3CDTF">2021-06-02T11:17:00Z</dcterms:created>
  <dcterms:modified xsi:type="dcterms:W3CDTF">2021-06-02T12:02:00Z</dcterms:modified>
</cp:coreProperties>
</file>